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A" w:rsidRDefault="009C4BD6" w:rsidP="008620A1">
      <w:pPr>
        <w:tabs>
          <w:tab w:val="left" w:pos="851"/>
        </w:tabs>
        <w:ind w:right="-1"/>
        <w:jc w:val="left"/>
        <w:rPr>
          <w:sz w:val="24"/>
        </w:rPr>
      </w:pPr>
      <w:r w:rsidRPr="001E41DF">
        <w:rPr>
          <w:noProof/>
          <w:sz w:val="24"/>
        </w:rPr>
        <w:drawing>
          <wp:inline distT="0" distB="0" distL="0" distR="0" wp14:anchorId="19C21CC1" wp14:editId="46D5C54C">
            <wp:extent cx="2286000" cy="834390"/>
            <wp:effectExtent l="0" t="0" r="0" b="3810"/>
            <wp:docPr id="1" name="obrázek 1" descr="pgr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l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C" w:rsidRDefault="00DA791C" w:rsidP="008620A1">
      <w:pPr>
        <w:tabs>
          <w:tab w:val="left" w:pos="851"/>
        </w:tabs>
        <w:ind w:right="-1"/>
        <w:jc w:val="left"/>
        <w:rPr>
          <w:sz w:val="24"/>
        </w:rPr>
      </w:pPr>
    </w:p>
    <w:p w:rsidR="00DA791C" w:rsidRPr="001E41DF" w:rsidRDefault="00DA791C" w:rsidP="008620A1">
      <w:pPr>
        <w:tabs>
          <w:tab w:val="left" w:pos="851"/>
        </w:tabs>
        <w:ind w:right="-1"/>
        <w:jc w:val="left"/>
        <w:rPr>
          <w:sz w:val="24"/>
        </w:rPr>
      </w:pPr>
    </w:p>
    <w:p w:rsidR="004744CA" w:rsidRPr="00DA791C" w:rsidRDefault="00DA791C" w:rsidP="00DA791C">
      <w:pPr>
        <w:pStyle w:val="Nadpis2"/>
        <w:spacing w:before="0"/>
        <w:jc w:val="center"/>
        <w:rPr>
          <w:rStyle w:val="Siln"/>
          <w:rFonts w:ascii="Verdana" w:hAnsi="Verdana"/>
          <w:b/>
          <w:color w:val="000000"/>
        </w:rPr>
      </w:pPr>
      <w:r w:rsidRPr="00DA791C">
        <w:rPr>
          <w:rStyle w:val="Siln"/>
          <w:rFonts w:ascii="Verdana" w:hAnsi="Verdana"/>
          <w:b/>
          <w:color w:val="000000"/>
        </w:rPr>
        <w:t>BUSINESS ANALYTIK</w:t>
      </w:r>
    </w:p>
    <w:p w:rsidR="004744CA" w:rsidRPr="001E41DF" w:rsidRDefault="004744CA" w:rsidP="008620A1">
      <w:pPr>
        <w:tabs>
          <w:tab w:val="left" w:pos="851"/>
        </w:tabs>
        <w:ind w:right="-1"/>
        <w:jc w:val="left"/>
        <w:rPr>
          <w:sz w:val="24"/>
        </w:rPr>
      </w:pPr>
    </w:p>
    <w:p w:rsidR="001371F9" w:rsidRPr="001E41DF" w:rsidRDefault="001371F9" w:rsidP="008620A1">
      <w:pPr>
        <w:tabs>
          <w:tab w:val="left" w:pos="851"/>
        </w:tabs>
        <w:ind w:right="-1"/>
        <w:jc w:val="left"/>
        <w:rPr>
          <w:sz w:val="24"/>
        </w:rPr>
      </w:pPr>
    </w:p>
    <w:p w:rsidR="00DA791C" w:rsidRPr="00DA791C" w:rsidRDefault="00DA791C" w:rsidP="00DA791C">
      <w:pPr>
        <w:shd w:val="clear" w:color="auto" w:fill="FFFFFF"/>
        <w:spacing w:after="180" w:line="276" w:lineRule="auto"/>
        <w:jc w:val="left"/>
        <w:textAlignment w:val="top"/>
        <w:outlineLvl w:val="1"/>
        <w:rPr>
          <w:rFonts w:ascii="gloriola" w:hAnsi="gloriola" w:cs="Arial"/>
          <w:b/>
          <w:sz w:val="28"/>
          <w:szCs w:val="28"/>
        </w:rPr>
      </w:pPr>
      <w:r w:rsidRPr="00DA791C">
        <w:rPr>
          <w:rFonts w:ascii="gloriola" w:hAnsi="gloriola" w:cs="Arial"/>
          <w:b/>
          <w:sz w:val="28"/>
          <w:szCs w:val="28"/>
        </w:rPr>
        <w:t>Náplň práce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Sbírání detailních informací o požadavcích zadavatele na automatizaci procesů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Rozpracování nebo definování business funkcí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Získávání informací o IS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Spolupráce na zaškolování uživatelů s novými systémovými funkcemi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Pomoc s přípravou testovacích scénářů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Konzultace se zadavateli</w:t>
      </w:r>
    </w:p>
    <w:p w:rsidR="00DA791C" w:rsidRPr="00DA791C" w:rsidRDefault="00DA791C" w:rsidP="00DA791C">
      <w:pPr>
        <w:pStyle w:val="Odstavecseseznamem"/>
        <w:numPr>
          <w:ilvl w:val="0"/>
          <w:numId w:val="6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Řízení přiděleného úkolu (zadání, analýza, programování/konfigurace, testy, zaškolení)</w:t>
      </w:r>
    </w:p>
    <w:p w:rsidR="00DA791C" w:rsidRPr="00DA791C" w:rsidRDefault="00DA791C" w:rsidP="00DA791C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DA791C" w:rsidRPr="00DA791C" w:rsidRDefault="00DA791C" w:rsidP="00DA791C">
      <w:pPr>
        <w:shd w:val="clear" w:color="auto" w:fill="FFFFFF"/>
        <w:spacing w:after="180" w:line="276" w:lineRule="auto"/>
        <w:jc w:val="left"/>
        <w:textAlignment w:val="top"/>
        <w:outlineLvl w:val="1"/>
        <w:rPr>
          <w:rFonts w:ascii="gloriola" w:hAnsi="gloriola" w:cs="Arial"/>
          <w:b/>
          <w:color w:val="000000"/>
          <w:sz w:val="28"/>
          <w:szCs w:val="28"/>
        </w:rPr>
      </w:pPr>
      <w:r w:rsidRPr="00DA791C">
        <w:rPr>
          <w:rFonts w:ascii="gloriola" w:hAnsi="gloriola" w:cs="Arial"/>
          <w:b/>
          <w:sz w:val="28"/>
          <w:szCs w:val="28"/>
        </w:rPr>
        <w:t>Požadovaná kvalifikace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SŠ/VŠ vzdělání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Zkušenosti s vývojem IS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Zkušenosti s nástroji na tvorbu analýzy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Znalost ITIL je výhodou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Znalost bankovních procesů výhodou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Znalosti analytické fáze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Ochota učit se novým věcem, nadšení, orientace na výsledek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Analytické myšlení, aktivní a samostatný přístup</w:t>
      </w:r>
    </w:p>
    <w:p w:rsidR="00DA791C" w:rsidRPr="00DA791C" w:rsidRDefault="00DA791C" w:rsidP="00DA791C">
      <w:pPr>
        <w:pStyle w:val="Odstavecseseznamem"/>
        <w:numPr>
          <w:ilvl w:val="0"/>
          <w:numId w:val="7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Znalost anglického jazyka na úrovni technické dokumentace</w:t>
      </w:r>
    </w:p>
    <w:p w:rsidR="00DA791C" w:rsidRDefault="00DA791C" w:rsidP="00DA791C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A791C" w:rsidRPr="00DA791C" w:rsidRDefault="00DA791C" w:rsidP="00DA791C">
      <w:pPr>
        <w:shd w:val="clear" w:color="auto" w:fill="FFFFFF"/>
        <w:spacing w:after="180" w:line="276" w:lineRule="auto"/>
        <w:jc w:val="left"/>
        <w:textAlignment w:val="top"/>
        <w:outlineLvl w:val="1"/>
        <w:rPr>
          <w:rFonts w:ascii="gloriola" w:hAnsi="gloriola" w:cs="Arial"/>
          <w:b/>
          <w:sz w:val="28"/>
          <w:szCs w:val="28"/>
        </w:rPr>
      </w:pPr>
      <w:r w:rsidRPr="00DA791C">
        <w:rPr>
          <w:rFonts w:ascii="gloriola" w:hAnsi="gloriola" w:cs="Arial"/>
          <w:b/>
          <w:sz w:val="28"/>
          <w:szCs w:val="28"/>
        </w:rPr>
        <w:t>Nabízíme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Pracovní smlouvu na dobu neurčitou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Pracoviště v centru Prahy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Moderní pracovní prostředí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Možnost profesních školení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Zaměstnanecké výhody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Nástup ihned nebo dle dohody</w:t>
      </w:r>
    </w:p>
    <w:p w:rsidR="00DA791C" w:rsidRPr="00DA791C" w:rsidRDefault="00DA791C" w:rsidP="00DA791C">
      <w:pPr>
        <w:pStyle w:val="Odstavecseseznamem"/>
        <w:numPr>
          <w:ilvl w:val="0"/>
          <w:numId w:val="8"/>
        </w:numPr>
        <w:shd w:val="clear" w:color="auto" w:fill="FFFFFF"/>
        <w:spacing w:after="180" w:line="276" w:lineRule="auto"/>
        <w:contextualSpacing/>
        <w:jc w:val="left"/>
        <w:textAlignment w:val="top"/>
        <w:rPr>
          <w:rFonts w:ascii="Open Sans" w:hAnsi="Open Sans" w:cs="Arial"/>
          <w:sz w:val="23"/>
          <w:szCs w:val="23"/>
        </w:rPr>
      </w:pPr>
      <w:r w:rsidRPr="00DA791C">
        <w:rPr>
          <w:rFonts w:ascii="Open Sans" w:hAnsi="Open Sans" w:cs="Arial"/>
          <w:sz w:val="23"/>
          <w:szCs w:val="23"/>
        </w:rPr>
        <w:t>Motivující finanční ohodnocení</w:t>
      </w:r>
    </w:p>
    <w:p w:rsidR="00DA791C" w:rsidRDefault="00DA791C" w:rsidP="00DA791C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A791C" w:rsidRDefault="00DA791C" w:rsidP="00DA791C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371F9" w:rsidRPr="001E41DF" w:rsidRDefault="00DA791C" w:rsidP="001371F9">
      <w:r>
        <w:t xml:space="preserve">V případě, že Vás nabídka zaujala, prosím zasílejte své životopisy na adresu: </w:t>
      </w:r>
      <w:r w:rsidRPr="00C75B49">
        <w:rPr>
          <w:b/>
        </w:rPr>
        <w:t>ferkova@pgrlf.cz</w:t>
      </w:r>
      <w:bookmarkStart w:id="0" w:name="_GoBack"/>
      <w:bookmarkEnd w:id="0"/>
    </w:p>
    <w:p w:rsidR="001371F9" w:rsidRPr="001E41DF" w:rsidRDefault="001371F9" w:rsidP="001371F9"/>
    <w:p w:rsidR="001371F9" w:rsidRPr="001E41DF" w:rsidRDefault="001371F9" w:rsidP="001371F9"/>
    <w:p w:rsidR="001371F9" w:rsidRPr="001E41DF" w:rsidRDefault="001371F9" w:rsidP="001371F9"/>
    <w:p w:rsidR="001371F9" w:rsidRPr="001E41DF" w:rsidRDefault="001371F9" w:rsidP="001371F9"/>
    <w:p w:rsidR="001371F9" w:rsidRPr="001E41DF" w:rsidRDefault="001371F9" w:rsidP="008620A1">
      <w:pPr>
        <w:tabs>
          <w:tab w:val="left" w:pos="851"/>
        </w:tabs>
        <w:ind w:right="-1"/>
        <w:jc w:val="left"/>
        <w:rPr>
          <w:sz w:val="24"/>
        </w:rPr>
      </w:pPr>
    </w:p>
    <w:sectPr w:rsidR="001371F9" w:rsidRPr="001E41DF" w:rsidSect="001321EA"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D6" w:rsidRDefault="009C4BD6">
      <w:r>
        <w:separator/>
      </w:r>
    </w:p>
  </w:endnote>
  <w:endnote w:type="continuationSeparator" w:id="0">
    <w:p w:rsidR="009C4BD6" w:rsidRDefault="009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loriol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85" w:rsidRPr="00EE02A3" w:rsidRDefault="00BC0B85" w:rsidP="002F41F8">
    <w:pPr>
      <w:ind w:right="-1"/>
      <w:jc w:val="center"/>
      <w:rPr>
        <w:b/>
        <w:sz w:val="16"/>
        <w:szCs w:val="16"/>
      </w:rPr>
    </w:pPr>
    <w:r w:rsidRPr="00EE02A3">
      <w:rPr>
        <w:b/>
        <w:caps/>
        <w:sz w:val="16"/>
        <w:szCs w:val="16"/>
      </w:rPr>
      <w:t>Podpůrný a garanční rolnický a lesnický fond</w:t>
    </w:r>
    <w:r w:rsidRPr="00EE02A3">
      <w:rPr>
        <w:b/>
        <w:sz w:val="16"/>
        <w:szCs w:val="16"/>
      </w:rPr>
      <w:t>, a.s.</w:t>
    </w:r>
  </w:p>
  <w:p w:rsidR="00BC0B85" w:rsidRPr="00B14988" w:rsidRDefault="00BC0B85" w:rsidP="002F41F8">
    <w:pPr>
      <w:pBdr>
        <w:bottom w:val="single" w:sz="6" w:space="1" w:color="auto"/>
      </w:pBdr>
      <w:jc w:val="center"/>
      <w:rPr>
        <w:sz w:val="28"/>
        <w:szCs w:val="28"/>
      </w:rPr>
    </w:pPr>
    <w:r w:rsidRPr="00B14988">
      <w:rPr>
        <w:b/>
        <w:sz w:val="16"/>
        <w:szCs w:val="16"/>
      </w:rPr>
      <w:t>Praha 8 - Karlín, Za Poříčskou branou 6/č.p. 256, PSČ 186 00, IČ 49241494</w:t>
    </w:r>
  </w:p>
  <w:p w:rsidR="00BC0B85" w:rsidRPr="002F41F8" w:rsidRDefault="00BC0B85" w:rsidP="002F41F8">
    <w:pPr>
      <w:pStyle w:val="Zpat"/>
      <w:jc w:val="center"/>
      <w:rPr>
        <w:sz w:val="16"/>
      </w:rPr>
    </w:pPr>
    <w:r w:rsidRPr="002F41F8">
      <w:rPr>
        <w:sz w:val="16"/>
      </w:rPr>
      <w:t xml:space="preserve">společnost zapsaná v obchodním rejstříku vedeném Městským soudem v Praze, </w:t>
    </w:r>
    <w:r>
      <w:rPr>
        <w:sz w:val="16"/>
      </w:rPr>
      <w:t xml:space="preserve">v </w:t>
    </w:r>
    <w:r w:rsidRPr="002F41F8">
      <w:rPr>
        <w:sz w:val="16"/>
      </w:rPr>
      <w:t>oddílu B, vložce č. 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D6" w:rsidRDefault="009C4BD6">
      <w:r>
        <w:separator/>
      </w:r>
    </w:p>
  </w:footnote>
  <w:footnote w:type="continuationSeparator" w:id="0">
    <w:p w:rsidR="009C4BD6" w:rsidRDefault="009C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128"/>
    <w:multiLevelType w:val="hybridMultilevel"/>
    <w:tmpl w:val="A4FA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1A1"/>
    <w:multiLevelType w:val="hybridMultilevel"/>
    <w:tmpl w:val="42621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93F"/>
    <w:multiLevelType w:val="hybridMultilevel"/>
    <w:tmpl w:val="1DCC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1153"/>
    <w:multiLevelType w:val="hybridMultilevel"/>
    <w:tmpl w:val="BB9CED0E"/>
    <w:lvl w:ilvl="0" w:tplc="4B4867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B200E"/>
    <w:multiLevelType w:val="hybridMultilevel"/>
    <w:tmpl w:val="93406794"/>
    <w:lvl w:ilvl="0" w:tplc="1D0A6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5E43"/>
    <w:multiLevelType w:val="hybridMultilevel"/>
    <w:tmpl w:val="15B073E2"/>
    <w:lvl w:ilvl="0" w:tplc="4B486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4396"/>
    <w:multiLevelType w:val="hybridMultilevel"/>
    <w:tmpl w:val="049E80D8"/>
    <w:lvl w:ilvl="0" w:tplc="4B4867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9F0C75"/>
    <w:multiLevelType w:val="hybridMultilevel"/>
    <w:tmpl w:val="1B16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D6"/>
    <w:rsid w:val="0006492F"/>
    <w:rsid w:val="00092ADF"/>
    <w:rsid w:val="000B413E"/>
    <w:rsid w:val="000B6B15"/>
    <w:rsid w:val="001321EA"/>
    <w:rsid w:val="001371F9"/>
    <w:rsid w:val="001824AC"/>
    <w:rsid w:val="001A7C09"/>
    <w:rsid w:val="001E41DF"/>
    <w:rsid w:val="001F627B"/>
    <w:rsid w:val="002205FE"/>
    <w:rsid w:val="00266804"/>
    <w:rsid w:val="002F41F8"/>
    <w:rsid w:val="004744CA"/>
    <w:rsid w:val="005A7675"/>
    <w:rsid w:val="00682CBA"/>
    <w:rsid w:val="00707339"/>
    <w:rsid w:val="007D52EB"/>
    <w:rsid w:val="007F1BC6"/>
    <w:rsid w:val="008620A1"/>
    <w:rsid w:val="008A7B35"/>
    <w:rsid w:val="0092602C"/>
    <w:rsid w:val="009C4BD6"/>
    <w:rsid w:val="009D1EF6"/>
    <w:rsid w:val="00AD7A7C"/>
    <w:rsid w:val="00B14988"/>
    <w:rsid w:val="00B62441"/>
    <w:rsid w:val="00B703C6"/>
    <w:rsid w:val="00BC0B85"/>
    <w:rsid w:val="00C94D57"/>
    <w:rsid w:val="00CC30D5"/>
    <w:rsid w:val="00D9501A"/>
    <w:rsid w:val="00DA791C"/>
    <w:rsid w:val="00E21D24"/>
    <w:rsid w:val="00E7242C"/>
    <w:rsid w:val="00EE02A3"/>
    <w:rsid w:val="00F6397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21EA"/>
    <w:pPr>
      <w:jc w:val="both"/>
    </w:pPr>
    <w:rPr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A7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E41D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21EA"/>
    <w:pPr>
      <w:spacing w:after="120"/>
      <w:ind w:firstLine="284"/>
    </w:pPr>
    <w:rPr>
      <w:sz w:val="24"/>
    </w:rPr>
  </w:style>
  <w:style w:type="paragraph" w:styleId="Textbubliny">
    <w:name w:val="Balloon Text"/>
    <w:basedOn w:val="Normln"/>
    <w:semiHidden/>
    <w:rsid w:val="001F627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41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1F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492F"/>
    <w:pPr>
      <w:ind w:left="708"/>
    </w:pPr>
  </w:style>
  <w:style w:type="paragraph" w:styleId="Nzev">
    <w:name w:val="Title"/>
    <w:basedOn w:val="Normln"/>
    <w:link w:val="NzevChar"/>
    <w:qFormat/>
    <w:rsid w:val="001371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1371F9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1E41DF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1E41D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A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DA7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21EA"/>
    <w:pPr>
      <w:jc w:val="both"/>
    </w:pPr>
    <w:rPr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A7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E41D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21EA"/>
    <w:pPr>
      <w:spacing w:after="120"/>
      <w:ind w:firstLine="284"/>
    </w:pPr>
    <w:rPr>
      <w:sz w:val="24"/>
    </w:rPr>
  </w:style>
  <w:style w:type="paragraph" w:styleId="Textbubliny">
    <w:name w:val="Balloon Text"/>
    <w:basedOn w:val="Normln"/>
    <w:semiHidden/>
    <w:rsid w:val="001F627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41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1F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492F"/>
    <w:pPr>
      <w:ind w:left="708"/>
    </w:pPr>
  </w:style>
  <w:style w:type="paragraph" w:styleId="Nzev">
    <w:name w:val="Title"/>
    <w:basedOn w:val="Normln"/>
    <w:link w:val="NzevChar"/>
    <w:qFormat/>
    <w:rsid w:val="001371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1371F9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1E41DF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1E41D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A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DA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40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1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621">
                  <w:marLeft w:val="0"/>
                  <w:marRight w:val="0"/>
                  <w:marTop w:val="75"/>
                  <w:marBottom w:val="0"/>
                  <w:divBdr>
                    <w:top w:val="single" w:sz="6" w:space="0" w:color="B9C8BA"/>
                    <w:left w:val="single" w:sz="6" w:space="11" w:color="B9C8BA"/>
                    <w:bottom w:val="single" w:sz="6" w:space="11" w:color="B9C8BA"/>
                    <w:right w:val="single" w:sz="6" w:space="11" w:color="B9C8BA"/>
                  </w:divBdr>
                </w:div>
              </w:divsChild>
            </w:div>
          </w:divsChild>
        </w:div>
      </w:divsChild>
    </w:div>
    <w:div w:id="1691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PODPŮRNÝ A GARANČNÍ ROLNICKÝ A LESNICKÝ FOND, a</vt:lpstr>
    </vt:vector>
  </TitlesOfParts>
  <Company>PGRLF, a.s.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PODPŮRNÝ A GARANČNÍ ROLNICKÝ A LESNICKÝ FOND, a</dc:title>
  <dc:creator>Ferková Denisa</dc:creator>
  <cp:lastModifiedBy>Ferková Denisa</cp:lastModifiedBy>
  <cp:revision>2</cp:revision>
  <cp:lastPrinted>2017-03-06T10:43:00Z</cp:lastPrinted>
  <dcterms:created xsi:type="dcterms:W3CDTF">2017-03-29T06:34:00Z</dcterms:created>
  <dcterms:modified xsi:type="dcterms:W3CDTF">2017-03-29T06:34:00Z</dcterms:modified>
</cp:coreProperties>
</file>